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7" w:rsidRPr="004733EF" w:rsidRDefault="00311817" w:rsidP="0031181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МЕСТНАЯ АДМИНИСТРАЦИЯ МУНИЦИПАЛЬНОГО ОБРАЗОВАНИЯ </w:t>
      </w:r>
    </w:p>
    <w:p w:rsidR="00311817" w:rsidRPr="004733EF" w:rsidRDefault="00311817" w:rsidP="0031181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БОЛЬШЕИЖОРСКОЕ ГОРОДСКОЕ  ПОСЕЛЕНИЕ</w:t>
      </w:r>
    </w:p>
    <w:p w:rsidR="00311817" w:rsidRPr="004733EF" w:rsidRDefault="00311817" w:rsidP="0031181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МО ЛОМОНОСОВСКИЙ МУНИЦИПАЛЬНЫЙ РАЙОН </w:t>
      </w:r>
    </w:p>
    <w:p w:rsidR="00311817" w:rsidRPr="004733EF" w:rsidRDefault="00311817" w:rsidP="0031181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311817" w:rsidRPr="004733EF" w:rsidRDefault="00311817" w:rsidP="00311817">
      <w:pPr>
        <w:spacing w:before="360"/>
        <w:rPr>
          <w:rFonts w:ascii="Times New Roman" w:eastAsia="Times New Roman" w:hAnsi="Times New Roman"/>
          <w:bCs/>
          <w:spacing w:val="60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Cs/>
          <w:spacing w:val="60"/>
          <w:sz w:val="24"/>
          <w:szCs w:val="24"/>
          <w:lang w:eastAsia="ru-RU"/>
        </w:rPr>
        <w:t>ПОСТАНОВЛЕНИЕ</w:t>
      </w:r>
    </w:p>
    <w:p w:rsidR="00311817" w:rsidRPr="004733EF" w:rsidRDefault="00311817" w:rsidP="00311817">
      <w:pPr>
        <w:spacing w:before="360"/>
        <w:rPr>
          <w:rFonts w:ascii="Times New Roman" w:eastAsia="Times New Roman" w:hAnsi="Times New Roman"/>
          <w:bCs/>
          <w:spacing w:val="60"/>
          <w:sz w:val="24"/>
          <w:szCs w:val="24"/>
          <w:lang w:eastAsia="ru-RU"/>
        </w:rPr>
      </w:pPr>
    </w:p>
    <w:p w:rsidR="00311817" w:rsidRPr="004733EF" w:rsidRDefault="003F1653" w:rsidP="00311817">
      <w:pPr>
        <w:spacing w:before="36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 </w:t>
      </w:r>
      <w:r w:rsidR="005637AC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C6393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</w:t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D5EC2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3D5EC2">
        <w:rPr>
          <w:rFonts w:ascii="Times New Roman" w:eastAsia="Times New Roman" w:hAnsi="Times New Roman"/>
          <w:bCs/>
          <w:sz w:val="24"/>
          <w:szCs w:val="24"/>
          <w:lang w:eastAsia="ru-RU"/>
        </w:rPr>
        <w:t>января</w:t>
      </w:r>
      <w:r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768B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D5EC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11817" w:rsidRPr="004733E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11817" w:rsidRPr="004733EF" w:rsidRDefault="00311817" w:rsidP="00311817">
      <w:pPr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</w:tblGrid>
      <w:tr w:rsidR="00311817" w:rsidRPr="004733EF" w:rsidTr="00311817">
        <w:trPr>
          <w:trHeight w:val="1368"/>
        </w:trPr>
        <w:tc>
          <w:tcPr>
            <w:tcW w:w="5580" w:type="dxa"/>
            <w:hideMark/>
          </w:tcPr>
          <w:p w:rsidR="00311817" w:rsidRPr="004733EF" w:rsidRDefault="00311817" w:rsidP="005C6393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муниципальн</w:t>
            </w:r>
            <w:r w:rsidR="005C6393"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</w:t>
            </w:r>
            <w:r w:rsidR="005C6393"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5C6393"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Большеижорское городское поселение МО Ломоносовский муниципальный район Ленинградской области» </w:t>
            </w:r>
          </w:p>
        </w:tc>
      </w:tr>
    </w:tbl>
    <w:p w:rsidR="00311817" w:rsidRPr="004733EF" w:rsidRDefault="00311817" w:rsidP="0031181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817" w:rsidRPr="004733EF" w:rsidRDefault="00311817" w:rsidP="0031181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 положениями  федерального  закона Российской Федерации от 06 октября 2003г.  № 131-ФЗ «Об общих принципах организации местного самоуправления в Российской Федерации» (с изменениями), Бюджетным кодексом Российской Федерации, Налоговым кодексом Российской Федерации, с Уставом МО Большеижорское городское  поселение,  Правилами благоустройства, содержания и обеспечения санитарного состояния территории муниципального образования Большеижорское городское поселение МО Ломоносовский муниципальный район Ленинградской области, </w:t>
      </w:r>
    </w:p>
    <w:p w:rsidR="00311817" w:rsidRPr="004733EF" w:rsidRDefault="00311817" w:rsidP="0031181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817" w:rsidRPr="004733EF" w:rsidRDefault="00311817" w:rsidP="00311817">
      <w:pPr>
        <w:widowControl w:val="0"/>
        <w:tabs>
          <w:tab w:val="left" w:pos="720"/>
          <w:tab w:val="center" w:pos="4890"/>
        </w:tabs>
        <w:suppressAutoHyphens/>
        <w:spacing w:after="120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>ПОСТАНОВЛЯЮ:</w:t>
      </w:r>
    </w:p>
    <w:p w:rsidR="00311817" w:rsidRPr="004733EF" w:rsidRDefault="00311817" w:rsidP="00311817">
      <w:pPr>
        <w:widowControl w:val="0"/>
        <w:tabs>
          <w:tab w:val="left" w:pos="720"/>
          <w:tab w:val="center" w:pos="4890"/>
        </w:tabs>
        <w:suppressAutoHyphens/>
        <w:spacing w:after="120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</w:pPr>
    </w:p>
    <w:p w:rsidR="00311817" w:rsidRPr="004733EF" w:rsidRDefault="00311817" w:rsidP="003F1653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   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 1. Утвердить  муниципальн</w:t>
      </w:r>
      <w:r w:rsidR="003F1653"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ую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программ</w:t>
      </w:r>
      <w:r w:rsidR="003F1653"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у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,  направленн</w:t>
      </w:r>
      <w:r w:rsidR="003F1653"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ую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на решение вопроса местного значения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МО Большеижорское городское поселение МО Ломоносовский муниципальный район Ленинградской области:     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  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 </w:t>
      </w:r>
    </w:p>
    <w:p w:rsidR="00311817" w:rsidRPr="004733EF" w:rsidRDefault="00311817" w:rsidP="00311817">
      <w:pPr>
        <w:ind w:firstLine="708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"Благоустройство, содержание территории Большеижорского городского поселения "</w:t>
      </w:r>
    </w:p>
    <w:p w:rsidR="00311817" w:rsidRPr="004733EF" w:rsidRDefault="00311817" w:rsidP="00311817">
      <w:pPr>
        <w:widowControl w:val="0"/>
        <w:tabs>
          <w:tab w:val="left" w:pos="720"/>
          <w:tab w:val="left" w:pos="10206"/>
        </w:tabs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   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  <w:t xml:space="preserve">2.  </w:t>
      </w:r>
      <w:proofErr w:type="gramStart"/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Контроль за</w:t>
      </w:r>
      <w:proofErr w:type="gramEnd"/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исполнением настоящего Постановления оставляю за  собой.</w:t>
      </w:r>
    </w:p>
    <w:p w:rsidR="00311817" w:rsidRPr="004733EF" w:rsidRDefault="008673E9" w:rsidP="00311817">
      <w:pPr>
        <w:widowControl w:val="0"/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   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  <w:r w:rsidR="00311817"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3. 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  <w:r w:rsidR="00311817"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Постановление вступает в силу на следующий день после дня его официального опубликования (обнародования).</w:t>
      </w:r>
    </w:p>
    <w:p w:rsidR="00311817" w:rsidRPr="004733EF" w:rsidRDefault="00311817" w:rsidP="00311817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11817" w:rsidRPr="004733EF" w:rsidRDefault="00311817" w:rsidP="00311817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11817" w:rsidRPr="004733EF" w:rsidRDefault="00311817" w:rsidP="00311817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Глава  администрации МО </w:t>
      </w:r>
    </w:p>
    <w:p w:rsidR="00911358" w:rsidRPr="004733EF" w:rsidRDefault="00311817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Большеижорское городское поселение                                           </w:t>
      </w:r>
      <w:r w:rsidR="003D5EC2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М.</w:t>
      </w:r>
      <w:r w:rsidRPr="004733E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Г.</w:t>
      </w:r>
      <w:r w:rsidR="003D5EC2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Матевосян</w:t>
      </w: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11817">
      <w:pPr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>Приложение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>К Постановлению главы администрации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4733EF">
        <w:rPr>
          <w:rFonts w:ascii="Times New Roman" w:eastAsiaTheme="minorHAnsi" w:hAnsi="Times New Roman" w:cstheme="minorBidi"/>
          <w:sz w:val="24"/>
          <w:szCs w:val="24"/>
        </w:rPr>
        <w:t>Муниципального</w:t>
      </w:r>
      <w:proofErr w:type="gramEnd"/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 образовании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>Большеижорское городское поселение МО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>Ломоносовский муниципальный район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>Ленинградской области</w:t>
      </w:r>
    </w:p>
    <w:p w:rsidR="003F1653" w:rsidRPr="004733EF" w:rsidRDefault="003F1653" w:rsidP="003F1653">
      <w:pPr>
        <w:ind w:firstLine="4820"/>
        <w:rPr>
          <w:rFonts w:ascii="Times New Roman" w:eastAsiaTheme="minorHAnsi" w:hAnsi="Times New Roman" w:cstheme="minorBidi"/>
          <w:sz w:val="24"/>
          <w:szCs w:val="24"/>
        </w:rPr>
      </w:pP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№ </w:t>
      </w:r>
      <w:r w:rsidR="005637AC">
        <w:rPr>
          <w:rFonts w:ascii="Times New Roman" w:eastAsiaTheme="minorHAnsi" w:hAnsi="Times New Roman" w:cstheme="minorBidi"/>
          <w:sz w:val="24"/>
          <w:szCs w:val="24"/>
        </w:rPr>
        <w:t>07</w:t>
      </w: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 от «</w:t>
      </w:r>
      <w:r w:rsidR="003D5EC2">
        <w:rPr>
          <w:rFonts w:ascii="Times New Roman" w:eastAsiaTheme="minorHAnsi" w:hAnsi="Times New Roman" w:cstheme="minorBidi"/>
          <w:sz w:val="24"/>
          <w:szCs w:val="24"/>
        </w:rPr>
        <w:t>27</w:t>
      </w: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="003D5EC2">
        <w:rPr>
          <w:rFonts w:ascii="Times New Roman" w:eastAsiaTheme="minorHAnsi" w:hAnsi="Times New Roman" w:cstheme="minorBidi"/>
          <w:sz w:val="24"/>
          <w:szCs w:val="24"/>
        </w:rPr>
        <w:t>января</w:t>
      </w:r>
      <w:r w:rsidR="00F34D42" w:rsidRPr="004733E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 20</w:t>
      </w:r>
      <w:r w:rsidR="0097256E">
        <w:rPr>
          <w:rFonts w:ascii="Times New Roman" w:eastAsiaTheme="minorHAnsi" w:hAnsi="Times New Roman" w:cstheme="minorBidi"/>
          <w:sz w:val="24"/>
          <w:szCs w:val="24"/>
        </w:rPr>
        <w:t>2</w:t>
      </w:r>
      <w:r w:rsidR="003D5EC2">
        <w:rPr>
          <w:rFonts w:ascii="Times New Roman" w:eastAsiaTheme="minorHAnsi" w:hAnsi="Times New Roman" w:cstheme="minorBidi"/>
          <w:sz w:val="24"/>
          <w:szCs w:val="24"/>
        </w:rPr>
        <w:t>2</w:t>
      </w: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 год</w:t>
      </w:r>
      <w:r w:rsidR="00F34D42" w:rsidRPr="004733EF">
        <w:rPr>
          <w:rFonts w:ascii="Times New Roman" w:eastAsiaTheme="minorHAnsi" w:hAnsi="Times New Roman" w:cstheme="minorBidi"/>
          <w:sz w:val="24"/>
          <w:szCs w:val="24"/>
        </w:rPr>
        <w:t>а</w:t>
      </w:r>
    </w:p>
    <w:p w:rsidR="003F1653" w:rsidRPr="004733EF" w:rsidRDefault="003F1653" w:rsidP="003F165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p w:rsidR="003F1653" w:rsidRPr="004733EF" w:rsidRDefault="003F1653" w:rsidP="003F1653">
      <w:pPr>
        <w:autoSpaceDE w:val="0"/>
        <w:autoSpaceDN w:val="0"/>
        <w:adjustRightInd w:val="0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3F1653" w:rsidRPr="004733EF" w:rsidRDefault="003F1653" w:rsidP="003F1653">
      <w:pPr>
        <w:autoSpaceDE w:val="0"/>
        <w:autoSpaceDN w:val="0"/>
        <w:adjustRightInd w:val="0"/>
        <w:outlineLvl w:val="1"/>
        <w:rPr>
          <w:rFonts w:ascii="Times New Roman" w:eastAsiaTheme="minorHAnsi" w:hAnsi="Times New Roman"/>
          <w:sz w:val="24"/>
          <w:szCs w:val="24"/>
        </w:rPr>
      </w:pPr>
      <w:r w:rsidRPr="004733EF">
        <w:rPr>
          <w:rFonts w:ascii="Times New Roman" w:eastAsiaTheme="minorHAnsi" w:hAnsi="Times New Roman"/>
          <w:sz w:val="24"/>
          <w:szCs w:val="24"/>
        </w:rPr>
        <w:t>Паспорт</w:t>
      </w:r>
    </w:p>
    <w:p w:rsidR="003F1653" w:rsidRPr="004733EF" w:rsidRDefault="003F1653" w:rsidP="003F165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33EF">
        <w:rPr>
          <w:rFonts w:ascii="Times New Roman" w:eastAsiaTheme="minorHAnsi" w:hAnsi="Times New Roman"/>
          <w:sz w:val="24"/>
          <w:szCs w:val="24"/>
        </w:rPr>
        <w:t xml:space="preserve"> </w:t>
      </w:r>
      <w:r w:rsidRPr="004733EF">
        <w:rPr>
          <w:rFonts w:ascii="Times New Roman" w:eastAsiaTheme="minorHAnsi" w:hAnsi="Times New Roman" w:cstheme="minorBidi"/>
          <w:sz w:val="24"/>
          <w:szCs w:val="24"/>
        </w:rPr>
        <w:t xml:space="preserve">Муниципальной целевой программы МО Большеижорское городское поселение МО Ломоносовский муниципальный район </w:t>
      </w:r>
    </w:p>
    <w:p w:rsidR="003F1653" w:rsidRPr="004733EF" w:rsidRDefault="003F1653" w:rsidP="003F165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"Благоустройство, содержание территории Большеижорского городского поселения " </w:t>
      </w:r>
    </w:p>
    <w:p w:rsidR="003F1653" w:rsidRPr="004733EF" w:rsidRDefault="003F1653" w:rsidP="003F165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4"/>
          <w:szCs w:val="24"/>
        </w:rPr>
      </w:pPr>
    </w:p>
    <w:tbl>
      <w:tblPr>
        <w:tblW w:w="9938" w:type="dxa"/>
        <w:tblInd w:w="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694"/>
        <w:gridCol w:w="7201"/>
        <w:gridCol w:w="28"/>
      </w:tblGrid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  <w:r w:rsidRPr="00473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Благоустройство, содержание территории Большеижорского  городского поселения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" (далее - Программа)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D5EC2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="003F1653" w:rsidRPr="004733EF">
              <w:rPr>
                <w:rFonts w:ascii="Times New Roman" w:eastAsiaTheme="minorHAnsi" w:hAnsi="Times New Roman"/>
                <w:sz w:val="24"/>
                <w:szCs w:val="24"/>
              </w:rPr>
              <w:t>аместитель главы местной администрации Купко Олег Петрович;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Тел.8 (812 76) </w:t>
            </w:r>
            <w:r w:rsidR="003D5EC2">
              <w:rPr>
                <w:rFonts w:ascii="Times New Roman" w:eastAsiaTheme="minorHAnsi" w:hAnsi="Times New Roman"/>
                <w:sz w:val="24"/>
                <w:szCs w:val="24"/>
              </w:rPr>
              <w:t>51-114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Местная администрация муниципального образования Большеижорского городского поселения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предприятия, осуществляющие деятельность на территории МО </w:t>
            </w:r>
            <w:proofErr w:type="spell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Большемжорского</w:t>
            </w:r>
            <w:proofErr w:type="spellEnd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городского поселения Ломоносовского муниципального района Ленинградской области.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  <w:trHeight w:val="18"/>
        </w:trPr>
        <w:tc>
          <w:tcPr>
            <w:tcW w:w="9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целевой 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973D4" w:rsidRDefault="004204D4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="003F1653" w:rsidRPr="004973D4">
                <w:rPr>
                  <w:rFonts w:ascii="Times New Roman" w:eastAsiaTheme="minorHAnsi" w:hAnsi="Times New Roman"/>
                  <w:sz w:val="24"/>
                  <w:szCs w:val="24"/>
                </w:rPr>
                <w:t>Подпрограмма 1</w:t>
              </w:r>
            </w:hyperlink>
            <w:r w:rsidR="003F1653" w:rsidRPr="004973D4">
              <w:rPr>
                <w:rFonts w:ascii="Times New Roman" w:eastAsiaTheme="minorHAnsi" w:hAnsi="Times New Roman"/>
                <w:sz w:val="24"/>
                <w:szCs w:val="24"/>
              </w:rPr>
              <w:t>. "</w:t>
            </w:r>
          </w:p>
          <w:p w:rsidR="003F1653" w:rsidRPr="004973D4" w:rsidRDefault="003F1653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 xml:space="preserve">" Содержание и ремонт линий электропередач уличного освещения в </w:t>
            </w:r>
            <w:proofErr w:type="spellStart"/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>Большеижорском</w:t>
            </w:r>
            <w:proofErr w:type="spellEnd"/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городском поселении " в рамках программы "Благоустройство, содержание территории Большеижорского городского поселения   "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973D4" w:rsidRDefault="004204D4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3F1653" w:rsidRPr="004973D4">
                <w:rPr>
                  <w:rFonts w:ascii="Times New Roman" w:eastAsiaTheme="minorHAnsi" w:hAnsi="Times New Roman"/>
                  <w:sz w:val="24"/>
                  <w:szCs w:val="24"/>
                </w:rPr>
                <w:t>Подпрограмма 2</w:t>
              </w:r>
            </w:hyperlink>
            <w:r w:rsidR="003F1653" w:rsidRPr="004973D4">
              <w:rPr>
                <w:rFonts w:ascii="Times New Roman" w:eastAsiaTheme="minorHAnsi" w:hAnsi="Times New Roman"/>
                <w:sz w:val="24"/>
                <w:szCs w:val="24"/>
              </w:rPr>
              <w:t>. "</w:t>
            </w:r>
          </w:p>
          <w:p w:rsidR="003F1653" w:rsidRPr="004973D4" w:rsidRDefault="003F1653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 xml:space="preserve">"Содержание автомобильных дорог общего пользования в </w:t>
            </w:r>
            <w:proofErr w:type="spellStart"/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>Большеижорском</w:t>
            </w:r>
            <w:proofErr w:type="spellEnd"/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городском поселении " в рамках муниципальной программы "Благоустройство, содержание  территории Большеижорского городского поселения»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973D4" w:rsidRDefault="004204D4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3F1653" w:rsidRPr="004973D4">
                <w:rPr>
                  <w:rFonts w:ascii="Times New Roman" w:eastAsiaTheme="minorHAnsi" w:hAnsi="Times New Roman"/>
                  <w:sz w:val="24"/>
                  <w:szCs w:val="24"/>
                </w:rPr>
                <w:t>Подпрограмма 3</w:t>
              </w:r>
            </w:hyperlink>
            <w:r w:rsidR="003F1653" w:rsidRPr="004973D4">
              <w:rPr>
                <w:rFonts w:ascii="Times New Roman" w:eastAsiaTheme="minorHAnsi" w:hAnsi="Times New Roman"/>
                <w:sz w:val="24"/>
                <w:szCs w:val="24"/>
              </w:rPr>
              <w:t>. "</w:t>
            </w:r>
          </w:p>
          <w:p w:rsidR="003F1653" w:rsidRDefault="003F1653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>"Озеленение территории Большеижорского городского поселения " в рамках программы " Благоустройство, содержание территории Боль</w:t>
            </w:r>
            <w:r w:rsidR="004204D4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bookmarkStart w:id="0" w:name="_GoBack"/>
            <w:bookmarkEnd w:id="0"/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 xml:space="preserve">еижорского городского поселения " </w:t>
            </w:r>
          </w:p>
          <w:p w:rsidR="003D5EC2" w:rsidRPr="004973D4" w:rsidRDefault="003D5EC2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973D4" w:rsidRDefault="004204D4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3F1653" w:rsidRPr="004973D4">
                <w:rPr>
                  <w:rFonts w:ascii="Times New Roman" w:eastAsiaTheme="minorHAnsi" w:hAnsi="Times New Roman"/>
                  <w:sz w:val="24"/>
                  <w:szCs w:val="24"/>
                </w:rPr>
                <w:t>Подпрограмма 4</w:t>
              </w:r>
            </w:hyperlink>
            <w:r w:rsidR="003F1653" w:rsidRPr="004973D4">
              <w:rPr>
                <w:rFonts w:ascii="Times New Roman" w:eastAsiaTheme="minorHAnsi" w:hAnsi="Times New Roman"/>
                <w:sz w:val="24"/>
                <w:szCs w:val="24"/>
              </w:rPr>
              <w:t>. "</w:t>
            </w:r>
          </w:p>
          <w:p w:rsidR="003F1653" w:rsidRPr="004973D4" w:rsidRDefault="003F1653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"Благоустройство, содержание  и соблюдение санитарных норм на территории Большеижорского городского поселения " в рамках программы " Благоустройство, содержание территории Большеижорского городского поселения "</w:t>
            </w:r>
          </w:p>
          <w:p w:rsidR="004973D4" w:rsidRPr="004973D4" w:rsidRDefault="004973D4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973D4" w:rsidRDefault="004973D4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73D4">
              <w:rPr>
                <w:rFonts w:ascii="Times New Roman" w:eastAsiaTheme="minorHAnsi" w:hAnsi="Times New Roman"/>
                <w:sz w:val="24"/>
                <w:szCs w:val="24"/>
              </w:rPr>
              <w:t>Подпрограмма 5.</w:t>
            </w:r>
          </w:p>
          <w:p w:rsidR="004973D4" w:rsidRDefault="004973D4" w:rsidP="003F165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F1653" w:rsidRPr="004973D4" w:rsidRDefault="004973D4" w:rsidP="004973D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49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по реализации областного закона 3-ОЗ "О содействии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участия</w:t>
            </w:r>
            <w:r w:rsidRPr="004973D4">
              <w:rPr>
                <w:rFonts w:ascii="Times New Roman" w:hAnsi="Times New Roman"/>
                <w:sz w:val="24"/>
                <w:szCs w:val="24"/>
              </w:rPr>
              <w:br/>
            </w:r>
            <w:r w:rsidRPr="0049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населения в осуществлении местного самоуправления в иных формах на</w:t>
            </w:r>
            <w:r w:rsidRPr="004973D4">
              <w:rPr>
                <w:rFonts w:ascii="Times New Roman" w:hAnsi="Times New Roman"/>
                <w:sz w:val="24"/>
                <w:szCs w:val="24"/>
              </w:rPr>
              <w:br/>
            </w:r>
            <w:r w:rsidRPr="0049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территориях административных центров муниципальных образований</w:t>
            </w:r>
            <w:r w:rsidRPr="004973D4">
              <w:rPr>
                <w:rFonts w:ascii="Times New Roman" w:hAnsi="Times New Roman"/>
                <w:sz w:val="24"/>
                <w:szCs w:val="24"/>
              </w:rPr>
              <w:br/>
            </w:r>
            <w:r w:rsidRPr="0049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Ленинградской области"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Не предусмотрены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надежности и качества снабжения населения и территории Большеижорского городского поселения электрической и тепловой энергией. 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Увеличение обеспеченности населения централизованными услугами энергоснабжения</w:t>
            </w:r>
            <w:proofErr w:type="gram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комфортности окружающей поселковой среды, обеспечение прав граждан на благоприятную среду  жизнедеятельности на территории муниципального образования Большеижорского городского поселения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Обеспечение надлежащего эксплуатационного состояния автомобильных дорог, реализация мероприятий по выполнению требований к обеспечению безопасности дорожного движения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в надлежащем состоянии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санитарная очистка и благоустройство, обеспечение сохранности поселкового имущества, сооружений и объектов на территории муниципального образования Большеижорского городского поселения , подготовка мемориала к мероприятиям, связанными с  годовщиной Победы в ВОВ. 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  <w:trHeight w:val="1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целевой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Подготовка линий электропередач городского поселения Большая Ижора к осенне-зимнему сезону  в объеме 100%;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Обеспечение финансовой устойчивости </w:t>
            </w:r>
            <w:proofErr w:type="spell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энергоснабжающих</w:t>
            </w:r>
            <w:proofErr w:type="spellEnd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 организаций в условиях ограничений на рост тарифов в объеме 100%; 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Гарантированное снабжение электроэнергией территории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Большеижорское городское поселение в объеме 100%;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Компенсационное озеленение</w:t>
            </w:r>
            <w:proofErr w:type="gram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уход за зелеными насаждениями на территории Большеижорского городского поселения;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количества  посаженных цветов; </w:t>
            </w:r>
            <w:proofErr w:type="spell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обкашивание</w:t>
            </w:r>
            <w:proofErr w:type="spellEnd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обочин дорог и территории поселения;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Обеспечение надлежащего эксплуатационного состояния автомобильных дорог;</w:t>
            </w:r>
          </w:p>
          <w:p w:rsidR="003F1653" w:rsidRPr="004733EF" w:rsidRDefault="003F1653" w:rsidP="003F16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в надлежащем состоянии и благоустройство, обеспечение сохранности поселкового имущества, сооружений и объектов на территории муниципального образования Большеижорского городского поселения.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</w:rPr>
              <w:t>Общая протяженность линий электропередач, подлежащих содержанию и текущему ремонту.</w:t>
            </w:r>
          </w:p>
          <w:p w:rsidR="003F1653" w:rsidRPr="004733EF" w:rsidRDefault="003F1653" w:rsidP="003F1653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</w:rPr>
              <w:t>Общая площадь дорог, подлежащая содержанию;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hAnsi="Times New Roman"/>
                <w:sz w:val="24"/>
                <w:szCs w:val="24"/>
              </w:rPr>
              <w:t>Площадь дорог, подлежащая текущему ремонту.</w:t>
            </w: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>Уход за зелеными насаждениями, посаженными ранее.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Посадка цветов и уход за ними.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>Общая площадь территории по содержанию, благоустройству и санитарной очистке.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305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2018- 202</w:t>
            </w:r>
            <w:r w:rsidR="0097256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год: 2018</w:t>
            </w:r>
            <w:r w:rsidR="00AC181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г.-</w:t>
            </w:r>
            <w:r w:rsidR="005C639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118 222,20</w:t>
            </w:r>
            <w:r w:rsidR="00AC181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руб.; 2019</w:t>
            </w:r>
            <w:r w:rsidR="00AC181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г.- </w:t>
            </w:r>
            <w:r w:rsidR="00AC181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114 311,12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руб.; 2020г.- </w:t>
            </w:r>
            <w:r w:rsidR="0097256E" w:rsidRPr="0097256E">
              <w:rPr>
                <w:rFonts w:ascii="Times New Roman" w:eastAsia="Times-Roman" w:hAnsi="Times New Roman"/>
                <w:sz w:val="26"/>
                <w:szCs w:val="26"/>
              </w:rPr>
              <w:t>118 708,89</w:t>
            </w:r>
            <w:r w:rsidR="0033057D">
              <w:rPr>
                <w:rFonts w:ascii="Times New Roman" w:eastAsia="Times-Roman" w:hAnsi="Times New Roman"/>
                <w:sz w:val="26"/>
                <w:szCs w:val="26"/>
              </w:rPr>
              <w:t xml:space="preserve"> </w:t>
            </w:r>
            <w:r w:rsidRPr="0097256E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3D5EC2">
              <w:rPr>
                <w:rFonts w:ascii="Times New Roman" w:eastAsiaTheme="minorHAnsi" w:hAnsi="Times New Roman"/>
                <w:sz w:val="24"/>
                <w:szCs w:val="24"/>
              </w:rPr>
              <w:t xml:space="preserve">, 2021 – 117 700,00 руб., 2022 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3D5EC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3057D">
              <w:rPr>
                <w:rFonts w:ascii="Times New Roman" w:eastAsiaTheme="minorHAnsi" w:hAnsi="Times New Roman"/>
                <w:sz w:val="24"/>
                <w:szCs w:val="24"/>
              </w:rPr>
              <w:t>200 000,00 р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уб</w:t>
            </w:r>
            <w:r w:rsidR="0033057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2C1" w:rsidRPr="008932C1" w:rsidRDefault="008932C1" w:rsidP="00893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2C1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на исполнение </w:t>
            </w:r>
            <w:proofErr w:type="spellStart"/>
            <w:r w:rsidRPr="008932C1"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 w:rsidRPr="008932C1">
              <w:rPr>
                <w:rFonts w:ascii="Times New Roman" w:hAnsi="Times New Roman"/>
                <w:sz w:val="24"/>
                <w:szCs w:val="24"/>
              </w:rPr>
              <w:t xml:space="preserve"> обязательств муниципального образования - общая сметная стоимость проектов </w:t>
            </w:r>
          </w:p>
          <w:p w:rsidR="003F1653" w:rsidRPr="008932C1" w:rsidRDefault="008932C1" w:rsidP="008932C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32C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1 254 900,00</w:t>
            </w:r>
          </w:p>
        </w:tc>
      </w:tr>
      <w:tr w:rsidR="008932C1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2C1" w:rsidRPr="008932C1" w:rsidRDefault="008932C1" w:rsidP="00893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2C1">
              <w:rPr>
                <w:rFonts w:ascii="Times New Roman" w:hAnsi="Times New Roman"/>
                <w:sz w:val="24"/>
                <w:szCs w:val="24"/>
              </w:rPr>
              <w:t>Объем субсидии из областного бюджета (руб.)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1 054 900,00</w:t>
            </w:r>
          </w:p>
        </w:tc>
      </w:tr>
      <w:tr w:rsidR="008932C1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2C1" w:rsidRPr="008932C1" w:rsidRDefault="008932C1" w:rsidP="00893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2C1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расходных обязательств, в целях </w:t>
            </w:r>
            <w:proofErr w:type="spellStart"/>
            <w:r w:rsidRPr="008932C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8932C1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 (руб.)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200 000,00</w:t>
            </w: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932C1" w:rsidRDefault="008932C1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653" w:rsidRPr="004733EF" w:rsidRDefault="003F1653" w:rsidP="003F165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 Источники финансирования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1653" w:rsidRPr="004733EF" w:rsidRDefault="003F1653" w:rsidP="008932C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l309"/>
            <w:bookmarkEnd w:id="1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Местный бюджет муниципального образования Большеижорского городского поселения  на  20</w:t>
            </w:r>
            <w:r w:rsidR="0097256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год и плановый 202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C1813"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год. 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9725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В 20</w:t>
            </w:r>
            <w:r w:rsidR="00DE2B5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году коэффициент обеспечения нормативного предоставления энергоресурсов (услуг) потребителю, то есть бесперебойно либо с перерывами, не превышающими продолжительность, соответствующую требованиям к качеству предоставления  услуг, составит 1. 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Объем экономии  энергии в натуральном выражении в связи с реализацией мероприятий по повышению надежности и энергетической эффективности в системах электроснабжения к 20</w:t>
            </w:r>
            <w:r w:rsidR="008932C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году.</w:t>
            </w:r>
          </w:p>
          <w:p w:rsidR="003F1653" w:rsidRPr="004733EF" w:rsidRDefault="003F1653" w:rsidP="003F1653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</w:rPr>
              <w:t xml:space="preserve">Общая площадь дорог, подлежащая содержанию </w:t>
            </w:r>
            <w:proofErr w:type="gramStart"/>
            <w:r w:rsidRPr="004733E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733EF">
              <w:rPr>
                <w:rFonts w:ascii="Times New Roman" w:hAnsi="Times New Roman"/>
                <w:sz w:val="24"/>
                <w:szCs w:val="24"/>
              </w:rPr>
              <w:t>снегоочистка и обработка антигололедными ингредиентами)          – 12270,5  кв. м.;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3EF">
              <w:rPr>
                <w:rFonts w:ascii="Times New Roman" w:hAnsi="Times New Roman"/>
                <w:sz w:val="24"/>
                <w:szCs w:val="24"/>
              </w:rPr>
              <w:t>Площадь дорог, подлежащая текущему содержани</w:t>
            </w:r>
            <w:proofErr w:type="gramStart"/>
            <w:r w:rsidRPr="004733EF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473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3EF">
              <w:rPr>
                <w:rFonts w:ascii="Times New Roman" w:hAnsi="Times New Roman"/>
                <w:sz w:val="24"/>
                <w:szCs w:val="24"/>
              </w:rPr>
              <w:t>обкашиванию</w:t>
            </w:r>
            <w:proofErr w:type="spellEnd"/>
            <w:r w:rsidRPr="004733EF">
              <w:rPr>
                <w:rFonts w:ascii="Times New Roman" w:hAnsi="Times New Roman"/>
                <w:sz w:val="24"/>
                <w:szCs w:val="24"/>
              </w:rPr>
              <w:t>) – 6830,0 кв. м.</w:t>
            </w:r>
          </w:p>
          <w:p w:rsidR="003F1653" w:rsidRPr="004733EF" w:rsidRDefault="003F1653" w:rsidP="003F165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Общая площадь зеленых насаждений </w:t>
            </w:r>
            <w:proofErr w:type="spellStart"/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>внутрипоселкового</w:t>
            </w:r>
            <w:proofErr w:type="spellEnd"/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озеленения Большеижорского городского поселения 254,4. кв. м.;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посаженных цветов – 0,0</w:t>
            </w:r>
            <w:r w:rsidR="00DE2B5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Pr="004733E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штук.</w:t>
            </w:r>
          </w:p>
          <w:p w:rsidR="00AC181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Содержание, благоустройство, обеспечение санитарной очистки, вывоз мусора и уборка несанкционированных свалок с территории Большеижорского городского поселения.</w:t>
            </w:r>
          </w:p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3EF">
              <w:rPr>
                <w:rFonts w:ascii="Times New Roman" w:eastAsiaTheme="minorHAnsi" w:hAnsi="Times New Roman"/>
                <w:sz w:val="24"/>
                <w:szCs w:val="24"/>
              </w:rPr>
              <w:t>Глава местной администрации муниципального образования Большеижорского городского поселения.</w:t>
            </w:r>
          </w:p>
        </w:tc>
      </w:tr>
      <w:tr w:rsidR="003F1653" w:rsidRPr="004733EF" w:rsidTr="008932C1">
        <w:trPr>
          <w:gridBefore w:val="1"/>
          <w:gridAfter w:val="1"/>
          <w:wBefore w:w="15" w:type="dxa"/>
          <w:wAfter w:w="28" w:type="dxa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1653" w:rsidRPr="004733EF" w:rsidRDefault="003F1653" w:rsidP="003F16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F1653" w:rsidRPr="004733EF" w:rsidRDefault="003F1653" w:rsidP="003F1653">
      <w:pPr>
        <w:jc w:val="left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"http://sakimo.rk.gov.ru/rus/file/pub/pub_276624.pdf" \l "page=1" \o "Страница 1" </w:instrTex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3F1653" w:rsidRPr="004733EF" w:rsidRDefault="003F1653" w:rsidP="003F1653">
      <w:pPr>
        <w:jc w:val="left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"http://sakimo.rk.gov.ru/rus/file/pub/pub_276624.pdf" \l "page=2" \o "Страница 2" </w:instrTex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4733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33EF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Pr="004733EF">
        <w:rPr>
          <w:rFonts w:ascii="Times New Roman" w:eastAsia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 от 06 октября 2003г.  № 131-ФЗ  (с изменениями), Градостроительным кодексом Российской Федерации, Уставом МО Большеижорское городское поселение</w:t>
      </w:r>
      <w:r w:rsidRPr="004733EF">
        <w:rPr>
          <w:rFonts w:ascii="Times New Roman" w:eastAsia="Times New Roman" w:hAnsi="Times New Roman"/>
          <w:color w:val="000000"/>
          <w:sz w:val="24"/>
          <w:szCs w:val="24"/>
        </w:rPr>
        <w:t xml:space="preserve"> к вопросам местного значения</w:t>
      </w:r>
      <w:r w:rsidRPr="004733EF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Большеижорское городское поселение на основании территориальных и экономических особенностей муниципальных образований относится осуществление благоустройства территории Муниципального образования, включающее:</w:t>
      </w:r>
      <w:proofErr w:type="gramEnd"/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содержание, текущий ремонт линий, опор электропередач, находящихся в границах муниципального образования;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 xml:space="preserve">оплату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энерго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>-снабжающим организациям за поставку электрической энергии и мощность муниципальному образованию;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текущий ремонт придомовых территорий и дворовых территорий, включая проезды и въезды, пешеходные дорожки;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 xml:space="preserve">содержание, очистка от снега и обработка антигололедными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ингридиентами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внутрипоселковых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дорог и пешеходных дорожек; 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устройство искусственных неровностей на проездах и въездах на придомовых территориях и дворовых территориях;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организацию дополнительных парковочных мест на дворовых территориях;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установку, содержание и ремонт ограждений газонов;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lastRenderedPageBreak/>
        <w:t>установку и содержание малых архитектурных форм, детских и игровых комплексов и хозяйственно-бытового оборудования, необходимого для благоустройства территории муниципального образования;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создание зон отдыха, в том числе обустройство, содержание и уборку территорий детских площадок;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обустройство, содержание и уборку территорий спортивных площадок;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оборудование контейнерных площадок на дворовых территориях;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выполнение оформления к праздничным мероприятиям на территории муниципального образования;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участие в пределах своей компетенции в обеспечении чистоты и порядка на территории муниципального образования, включая ликвидацию несанкционированных свалок бытовых отходов, мусора и уборку территорий, водных акваторий, тупиков и проездов, не включенных в адресные программы, утвержденные исполнительными органами государственной власти Ленинградской области;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 xml:space="preserve">озеленение территорий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озеленения, в том числе организацию работ по компенсационному озеленению, осуществляемому в соответствии с законом ЛО, содержание территорий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озеленения, ремонт расположенных на них объектов зеленых насаждений, защиту зеленых насаждений на указанных территориях, утверждение перечней территорий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озеленения;</w:t>
      </w:r>
    </w:p>
    <w:p w:rsidR="003F1653" w:rsidRPr="004733EF" w:rsidRDefault="003F1653" w:rsidP="003F16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33EF">
        <w:rPr>
          <w:rFonts w:ascii="Times New Roman" w:eastAsia="Times New Roman" w:hAnsi="Times New Roman"/>
          <w:sz w:val="24"/>
          <w:szCs w:val="24"/>
        </w:rPr>
        <w:t>организацию учета зеленых насаждений внутриквартального озеленения на территории муниципального образования;</w:t>
      </w:r>
    </w:p>
    <w:p w:rsidR="003F1653" w:rsidRPr="004733EF" w:rsidRDefault="003F1653" w:rsidP="008932C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</w:rPr>
        <w:t xml:space="preserve">проведение санитарных рубок, а также удаление аварийных, больных деревьев и кустарников в отношении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</w:rPr>
        <w:t xml:space="preserve"> озеленения.</w:t>
      </w:r>
    </w:p>
    <w:p w:rsidR="003F1653" w:rsidRPr="004733EF" w:rsidRDefault="003F1653" w:rsidP="003F1653">
      <w:pPr>
        <w:suppressAutoHyphens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Характеристика области реализации программы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Большеижорское городское поселение занимает земельный участок площадью 1845,5 га. По данным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Петростата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</w:t>
      </w:r>
      <w:r w:rsidR="0097256E">
        <w:rPr>
          <w:rFonts w:ascii="Times New Roman" w:eastAsia="Times New Roman" w:hAnsi="Times New Roman"/>
          <w:sz w:val="24"/>
          <w:szCs w:val="24"/>
          <w:lang w:eastAsia="ru-RU"/>
        </w:rPr>
        <w:t>20 года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численность населения Муниципального образования Большеижорское городское поселение составляет </w:t>
      </w:r>
      <w:r w:rsidR="004733EF" w:rsidRPr="004733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256E">
        <w:rPr>
          <w:rFonts w:ascii="Times New Roman" w:eastAsia="Times New Roman" w:hAnsi="Times New Roman"/>
          <w:sz w:val="24"/>
          <w:szCs w:val="24"/>
          <w:lang w:eastAsia="ru-RU"/>
        </w:rPr>
        <w:t>746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На территории Муниципального образования насчитывается </w:t>
      </w:r>
      <w:r w:rsidR="004733EF" w:rsidRPr="004733EF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многоквартирных жилых дома и </w:t>
      </w:r>
      <w:r w:rsidR="004733EF" w:rsidRPr="004733EF">
        <w:rPr>
          <w:rFonts w:ascii="Times New Roman" w:eastAsia="Times New Roman" w:hAnsi="Times New Roman"/>
          <w:sz w:val="24"/>
          <w:szCs w:val="24"/>
          <w:lang w:eastAsia="ru-RU"/>
        </w:rPr>
        <w:t>415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дворов</w:t>
      </w:r>
      <w:r w:rsidRPr="004733E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.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Комфортность проживания наряду с прочим определяется и уровнем благоустройства придомовых территорий: организация озеленения, устройство газонов и цветников, обустройство детских и спортивных площадок, их надлежащее содержание, комплектация дворов малыми архитектурными формами, благоустройство мест сбора мусора, своевременный ремонт дворовых территорий и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внутридворовых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проездов. 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Формирование благоприятной среды жизнедеятельности является одной из значимых целей, осуществляемых в пределах жилых территорий органами местного самоуправления.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 территории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озеленения  Муниципального образования  Большеижорского городского поселения составляет  3614 кв. м). Анализ обеспеченности дворов элементами благоустройства показывает, что уровень их комфортности не в достаточной мере отвечает современным характеристикам дворовых пространств. Ежегодно возникает потребность в ремонте существующих объектов благоустройства, связанная с естественным износом, потребность в замене морально устаревшего оборудования  современным. Следует отметить наличие проблем в части технического содержания  зеленых насаждений.</w:t>
      </w:r>
    </w:p>
    <w:p w:rsidR="003F1653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Длительное время земельный покров территорий зеленых насаждений   не обновлялся, что привело газоны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озеленения в неудовлетворительное состояние. Газонные ограждения разрушены либо отсутствуют. </w:t>
      </w:r>
    </w:p>
    <w:p w:rsidR="008932C1" w:rsidRDefault="008932C1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2C1" w:rsidRPr="004733EF" w:rsidRDefault="008932C1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Учитывая изложенное, в течение 20</w:t>
      </w:r>
      <w:r w:rsidR="008932C1">
        <w:rPr>
          <w:rFonts w:ascii="Times New Roman" w:eastAsia="Times New Roman" w:hAnsi="Times New Roman"/>
          <w:sz w:val="24"/>
          <w:szCs w:val="24"/>
          <w:lang w:eastAsia="ru-RU"/>
        </w:rPr>
        <w:t>21 - 2022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необходимо провести паспортизацию дворов, работы по озеленению территории зеленых насаждений внутриквартального озеленения по  адресам Муниципального образования и установке газонных ограждений в едином стиле.</w:t>
      </w:r>
      <w:proofErr w:type="gramEnd"/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Закупка и установка детского игрового оборудования, газонных ограждений, садовой мебели, урн для мусора, работы по озеленению совершенствуют качество отдыха населения, а также повышают уровень благоустройства и улучшают внешний облик поселения.</w:t>
      </w: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программы</w:t>
      </w:r>
    </w:p>
    <w:p w:rsidR="008932C1" w:rsidRPr="004733EF" w:rsidRDefault="008932C1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повышения уровня комфортности проживания, в том числе грамотное функциональное зонирование территорий, решение вопросов уличного освещения поселка, решение вопросов содержания и снегоочистки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 и пешеходных дорожек, решение вопросов озеленения, размещение игровых комплексов для разных возрастных групп, площадок для отдыха взрослых, проведение ремонта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внутридворовых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проездов, а также сохранение внешнего облика исторической части поселка Большая Ижора.</w:t>
      </w:r>
      <w:proofErr w:type="gramEnd"/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развития ландшафтно-рекреационного пространства, позволяющего сделать территорию поселения комфортной для проживания населения;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объектов благоустройства для достижения нового эстетического уровня внешнего облика поселения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- благоустройство и содержание территорий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озеленения Муниципального образования Большеижорское городское поселение для сохранения благоприятной окружающей среды и условий жизнедеятельности населения поселения; 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- обеспечение мероприятий по текущему содержанию и ремонту линий электропередач для создания условий комфортного проживания населения Большеижорское городское поселение;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и снегоочистка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 и пешеходных дорожек,</w:t>
      </w:r>
      <w:r w:rsidRPr="00473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позволяющего сделать территорию поселения комфортной для проживания населения;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реализация пожеланий жителей в благоустройстве придомовых территорий, вовлечение граждан в самостоятельное участие в благоустройстве окружающего пространства.</w:t>
      </w:r>
    </w:p>
    <w:p w:rsidR="003F1653" w:rsidRPr="004733EF" w:rsidRDefault="003F1653" w:rsidP="003F1653">
      <w:pPr>
        <w:ind w:firstLine="99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 Перечень мероприятий программы</w:t>
      </w:r>
    </w:p>
    <w:p w:rsidR="00F34D42" w:rsidRPr="004733EF" w:rsidRDefault="00F34D42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программы «Благоустройство территории Муниципального образования» в 20</w:t>
      </w:r>
      <w:r w:rsidR="003C7AA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будет достигнуто обеспечение более благоприятных условий  для жизнедеятельности населения поселения:  </w:t>
      </w:r>
    </w:p>
    <w:p w:rsidR="003F1653" w:rsidRPr="004733EF" w:rsidRDefault="003F1653" w:rsidP="003F1653">
      <w:pPr>
        <w:ind w:firstLine="54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992"/>
        <w:gridCol w:w="1985"/>
        <w:gridCol w:w="2044"/>
      </w:tblGrid>
      <w:tr w:rsidR="003F1653" w:rsidRPr="004733EF" w:rsidTr="004733EF">
        <w:trPr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2044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</w:tr>
      <w:tr w:rsidR="003F1653" w:rsidRPr="004733EF" w:rsidTr="004733EF">
        <w:trPr>
          <w:trHeight w:val="245"/>
          <w:jc w:val="center"/>
        </w:trPr>
        <w:tc>
          <w:tcPr>
            <w:tcW w:w="10327" w:type="dxa"/>
            <w:gridSpan w:val="4"/>
          </w:tcPr>
          <w:p w:rsidR="003F1653" w:rsidRPr="004733EF" w:rsidRDefault="003F1653" w:rsidP="003F1653">
            <w:pPr>
              <w:ind w:left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  <w:p w:rsidR="003F1653" w:rsidRPr="004733EF" w:rsidRDefault="003F1653" w:rsidP="003F1653">
            <w:pPr>
              <w:ind w:left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 - специалист муниципальных закупок и благоустройства местной Администрацией Муниципального образования Большеижорское г/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F1653" w:rsidRPr="004733EF" w:rsidTr="004733EF">
        <w:trPr>
          <w:trHeight w:val="245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2" w:right="-18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придомовых и дворовых территорий с использованием современного материала покрытий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44" w:type="dxa"/>
          </w:tcPr>
          <w:p w:rsidR="003F1653" w:rsidRPr="004733EF" w:rsidRDefault="008F59C8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</w:t>
            </w:r>
          </w:p>
        </w:tc>
      </w:tr>
      <w:tr w:rsidR="003F1653" w:rsidRPr="004733EF" w:rsidTr="004733EF">
        <w:trPr>
          <w:trHeight w:val="364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территорий зеленых насаждений </w:t>
            </w:r>
            <w:proofErr w:type="spell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внутрипоселкового</w:t>
            </w:r>
            <w:proofErr w:type="spell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озеленения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4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733EF" w:rsidRPr="004733EF" w:rsidTr="004733EF">
        <w:trPr>
          <w:trHeight w:val="687"/>
          <w:jc w:val="center"/>
        </w:trPr>
        <w:tc>
          <w:tcPr>
            <w:tcW w:w="5306" w:type="dxa"/>
          </w:tcPr>
          <w:p w:rsidR="004733EF" w:rsidRPr="004733EF" w:rsidRDefault="004733EF" w:rsidP="003F1653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992" w:type="dxa"/>
          </w:tcPr>
          <w:p w:rsidR="004733EF" w:rsidRPr="004733EF" w:rsidRDefault="004733EF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985" w:type="dxa"/>
          </w:tcPr>
          <w:p w:rsidR="004733EF" w:rsidRPr="004733EF" w:rsidRDefault="008932C1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2044" w:type="dxa"/>
          </w:tcPr>
          <w:p w:rsidR="004733EF" w:rsidRPr="004733EF" w:rsidRDefault="003023A8" w:rsidP="00D05116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5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089</w:t>
            </w:r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проектно-сметной документации на благоустройство территории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:rsidR="003F1653" w:rsidRPr="004733EF" w:rsidRDefault="00E0596B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</w:p>
        </w:tc>
        <w:tc>
          <w:tcPr>
            <w:tcW w:w="2044" w:type="dxa"/>
          </w:tcPr>
          <w:p w:rsidR="003F1653" w:rsidRPr="00D05116" w:rsidRDefault="00D05116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51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0511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05116">
              <w:rPr>
                <w:rFonts w:ascii="Times New Roman" w:hAnsi="Times New Roman"/>
                <w:sz w:val="24"/>
                <w:szCs w:val="24"/>
              </w:rPr>
              <w:t>агорная</w:t>
            </w:r>
            <w:proofErr w:type="spellEnd"/>
            <w:r w:rsidRPr="00D05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5116">
              <w:rPr>
                <w:rFonts w:ascii="Times New Roman" w:hAnsi="Times New Roman"/>
                <w:sz w:val="24"/>
                <w:szCs w:val="24"/>
              </w:rPr>
              <w:t>ул.Полевая</w:t>
            </w:r>
            <w:proofErr w:type="spellEnd"/>
            <w:r w:rsidRPr="00D051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5116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D0511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051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05116">
              <w:rPr>
                <w:rFonts w:ascii="Times New Roman" w:hAnsi="Times New Roman"/>
                <w:sz w:val="24"/>
                <w:szCs w:val="24"/>
              </w:rPr>
              <w:t xml:space="preserve"> г.п. Большая Ижора</w:t>
            </w:r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Новогоднее оформление поселения: искусственные светодиодные ели 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</w:tcPr>
          <w:p w:rsidR="003F1653" w:rsidRPr="003023A8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10327" w:type="dxa"/>
            <w:gridSpan w:val="4"/>
          </w:tcPr>
          <w:p w:rsidR="00DE2B55" w:rsidRDefault="00DE2B55" w:rsidP="003F165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653" w:rsidRPr="004733EF" w:rsidRDefault="003F1653" w:rsidP="003F165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благоустройства, выполняемые  в соответствии с установленными мероприятиями МО Большеижорского г/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Уборка и санитарная очистка территорий зеленых насаждений </w:t>
            </w:r>
            <w:proofErr w:type="spell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внутрипоселкового</w:t>
            </w:r>
            <w:proofErr w:type="spell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озеленения, детских игровых и спортивных площадок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44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5306" w:type="dxa"/>
          </w:tcPr>
          <w:p w:rsidR="003F1653" w:rsidRPr="004733EF" w:rsidRDefault="003F1653" w:rsidP="003F1653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газонов: покос, землевание и обрезка бровок, борьба с сорняками, подкормка, полив, вывоз мусора, снега</w:t>
            </w:r>
            <w:proofErr w:type="gramEnd"/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4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F1653" w:rsidRPr="004733EF" w:rsidTr="004733EF">
        <w:trPr>
          <w:trHeight w:val="687"/>
          <w:jc w:val="center"/>
        </w:trPr>
        <w:tc>
          <w:tcPr>
            <w:tcW w:w="10327" w:type="dxa"/>
            <w:gridSpan w:val="4"/>
          </w:tcPr>
          <w:p w:rsidR="003F1653" w:rsidRPr="004733EF" w:rsidRDefault="003F1653" w:rsidP="003F1653">
            <w:pPr>
              <w:ind w:left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выполняемые за счет средств субсидии на финансовое обеспечение выполнения мероприятий в области благоустройства, с привлечением в установленном порядке организаций и юридических лиц, оказывающих  услуги в данной области</w:t>
            </w:r>
          </w:p>
        </w:tc>
      </w:tr>
      <w:tr w:rsidR="003F1653" w:rsidRPr="004733EF" w:rsidTr="004733EF">
        <w:trPr>
          <w:trHeight w:val="287"/>
          <w:jc w:val="center"/>
        </w:trPr>
        <w:tc>
          <w:tcPr>
            <w:tcW w:w="5306" w:type="dxa"/>
          </w:tcPr>
          <w:p w:rsidR="003F1653" w:rsidRPr="004733EF" w:rsidRDefault="003F1653" w:rsidP="00D0511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уличного </w:t>
            </w:r>
            <w:r w:rsidRPr="008F5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освещения </w:t>
            </w:r>
            <w:proofErr w:type="gramStart"/>
            <w:r w:rsidR="008F59C8" w:rsidRPr="008F59C8">
              <w:rPr>
                <w:rFonts w:ascii="Times New Roman" w:hAnsi="Times New Roman"/>
              </w:rPr>
              <w:t>Полевая</w:t>
            </w:r>
            <w:proofErr w:type="gramEnd"/>
            <w:r w:rsidR="008F59C8" w:rsidRPr="008F59C8">
              <w:rPr>
                <w:rFonts w:ascii="Times New Roman" w:hAnsi="Times New Roman"/>
              </w:rPr>
              <w:t>, Нагорная, Лесная</w:t>
            </w:r>
            <w:r w:rsidR="008F59C8"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5" w:type="dxa"/>
          </w:tcPr>
          <w:p w:rsidR="003F1653" w:rsidRPr="004733EF" w:rsidRDefault="00D05116" w:rsidP="006A6FDD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2044" w:type="dxa"/>
          </w:tcPr>
          <w:p w:rsidR="003F1653" w:rsidRPr="004733EF" w:rsidRDefault="00D05116" w:rsidP="006A6FDD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</w:t>
            </w:r>
          </w:p>
        </w:tc>
      </w:tr>
      <w:tr w:rsidR="003F1653" w:rsidRPr="004733EF" w:rsidTr="004733EF">
        <w:trPr>
          <w:trHeight w:val="287"/>
          <w:jc w:val="center"/>
        </w:trPr>
        <w:tc>
          <w:tcPr>
            <w:tcW w:w="5306" w:type="dxa"/>
          </w:tcPr>
          <w:p w:rsidR="003F1653" w:rsidRPr="004733EF" w:rsidRDefault="003F1653" w:rsidP="008F59C8">
            <w:pPr>
              <w:ind w:left="74"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05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 грунтового покрытия по ул. </w:t>
            </w:r>
            <w:proofErr w:type="gramStart"/>
            <w:r w:rsidR="008F5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</w:p>
        </w:tc>
        <w:tc>
          <w:tcPr>
            <w:tcW w:w="992" w:type="dxa"/>
          </w:tcPr>
          <w:p w:rsidR="003F1653" w:rsidRPr="004733EF" w:rsidRDefault="003F1653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5" w:type="dxa"/>
          </w:tcPr>
          <w:p w:rsidR="003F1653" w:rsidRPr="004733EF" w:rsidRDefault="00D05116" w:rsidP="003F1653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44" w:type="dxa"/>
          </w:tcPr>
          <w:p w:rsidR="003F1653" w:rsidRPr="004733EF" w:rsidRDefault="00D05116" w:rsidP="008F59C8">
            <w:pPr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F34D42" w:rsidRPr="004733EF" w:rsidRDefault="00F34D42" w:rsidP="003F1653">
      <w:pPr>
        <w:widowControl w:val="0"/>
        <w:tabs>
          <w:tab w:val="left" w:pos="1750"/>
        </w:tabs>
        <w:suppressAutoHyphens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widowControl w:val="0"/>
        <w:tabs>
          <w:tab w:val="left" w:pos="1750"/>
        </w:tabs>
        <w:suppressAutoHyphens/>
        <w:ind w:firstLine="567"/>
        <w:jc w:val="both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proofErr w:type="gram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Адресного </w:t>
      </w:r>
      <w:r w:rsidRPr="004733EF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 xml:space="preserve">перечня основных мероприятий  (Приложение к настоящей программе) обусловлено выявленными потребностями в ремонте или замене поврежденного дорожного покрытия современным мощением; благоустройстве территорий </w:t>
      </w:r>
      <w:proofErr w:type="spellStart"/>
      <w:r w:rsidRPr="004733EF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 xml:space="preserve"> озеленения с установкой газонных ограждений оригинального типа; ремонте и дооснащении детских площадок и зон отдыха детскими комплексами и малыми архитектурными формами; придании площадкам для сбора мусора эстетически привлекательной формы;</w:t>
      </w:r>
      <w:proofErr w:type="gramEnd"/>
      <w:r w:rsidRPr="004733EF"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  <w:t xml:space="preserve">  а также обращениями жителей по улучшению внешнего облика территории муниципального округа. </w:t>
      </w: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финансирования: местный бюджет  Муниципального образования Большеижорское городское поселение муниципального образования Ломоносовский муниципальный район Ленинградской области на 2018- 202</w:t>
      </w:r>
      <w:r w:rsidR="008F59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гг.</w:t>
      </w: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по коду раздела (подраздела) -  0503 "Благоустройство".</w:t>
      </w:r>
    </w:p>
    <w:p w:rsidR="00430991" w:rsidRDefault="003F1653" w:rsidP="00430991">
      <w:pPr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</w:t>
      </w: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05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8673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051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1 254 900,00</w:t>
      </w:r>
      <w:r w:rsidR="00430991" w:rsidRPr="004733E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30991" w:rsidRPr="004733EF">
        <w:rPr>
          <w:rFonts w:ascii="Times New Roman" w:eastAsiaTheme="minorHAnsi" w:hAnsi="Times New Roman"/>
          <w:sz w:val="24"/>
          <w:szCs w:val="24"/>
        </w:rPr>
        <w:t>тыс.руб</w:t>
      </w:r>
      <w:proofErr w:type="spellEnd"/>
      <w:r w:rsidR="00430991"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F1653" w:rsidRPr="004733EF" w:rsidRDefault="003F1653" w:rsidP="00430991">
      <w:pPr>
        <w:ind w:firstLine="709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Механизм реализации программы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 реализации программы включает в себя выполнение комплекса мероприятий согласно таблице  с привлечением организаций, обладающих всем необходимым оборудованием и материалами, достаточным штатом специалистов и достаточным опытом проведения подобных мероприятий. Подрядчики определяются в порядке, установленном Федеральным Законом от 05.04.2013 № 44-ФЗ "О контрактной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системе в сфере закупок товаров, работ, услуг для обеспечения государственных и муниципальных нужд". 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 содержанию и уборке территории зеленых насаждений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внутрипоселкового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озеленения, детских игровых и спортивных площадок, содержанию и ремонту малых архитектурных форм и</w:t>
      </w: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элементов благоустройства</w:t>
      </w: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силами организаций, обладающих всем необходимым оборудованием и материалами, достаточным штатом специалистов и достаточным опытом проведения подобных мероприятий. Подрядчики определяются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  <w:proofErr w:type="gram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реализацией программы осуществляет глава местной администрации и специалисты  благоустройства.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 Ожидаемые результаты и оценка эффективности реализации программы</w:t>
      </w:r>
    </w:p>
    <w:p w:rsidR="003F1653" w:rsidRPr="004733EF" w:rsidRDefault="003F1653" w:rsidP="003F16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По итогам реализации программы ожидается:</w:t>
      </w: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 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развитие положительных тенденций в создании благоприятной среды проживания;</w:t>
      </w: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 дворовых территорий;</w:t>
      </w: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- развитие активного отдыха жителей, сочетающего в себе элементы самоорганизации граждан в благоустройстве;</w:t>
      </w: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эстетки городского поселения.</w:t>
      </w:r>
    </w:p>
    <w:p w:rsidR="003F1653" w:rsidRPr="004733EF" w:rsidRDefault="003F1653" w:rsidP="003F1653">
      <w:pPr>
        <w:suppressAutoHyphens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ar-SA"/>
        </w:rPr>
        <w:t>Целевые показатели для оценки эффективности:</w:t>
      </w:r>
    </w:p>
    <w:p w:rsidR="003F1653" w:rsidRPr="004733EF" w:rsidRDefault="003F1653" w:rsidP="003F1653">
      <w:pPr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733EF">
        <w:rPr>
          <w:rFonts w:ascii="Times New Roman" w:eastAsia="Times New Roman" w:hAnsi="Times New Roman"/>
          <w:sz w:val="24"/>
          <w:szCs w:val="24"/>
          <w:lang w:eastAsia="ar-SA"/>
        </w:rPr>
        <w:t xml:space="preserve">Количество выполненных местной Администрацией Муниципального образования Большеижорское </w:t>
      </w:r>
      <w:proofErr w:type="spellStart"/>
      <w:r w:rsidRPr="004733EF">
        <w:rPr>
          <w:rFonts w:ascii="Times New Roman" w:eastAsia="Times New Roman" w:hAnsi="Times New Roman"/>
          <w:sz w:val="24"/>
          <w:szCs w:val="24"/>
          <w:lang w:eastAsia="ar-SA"/>
        </w:rPr>
        <w:t>гордское</w:t>
      </w:r>
      <w:proofErr w:type="spellEnd"/>
      <w:r w:rsidRPr="004733EF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поселение мероприятий по отношению к запланированному количеству.</w:t>
      </w: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Универсальный критерий К</w:t>
      </w:r>
      <w:proofErr w:type="gram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степень выполнения программных мероприятий (%). Предполагается, что исполнение плана  программных мероприятий ежегодно должно составлять не менее 90 %. </w:t>
      </w:r>
    </w:p>
    <w:p w:rsidR="004733EF" w:rsidRPr="004733EF" w:rsidRDefault="003F1653" w:rsidP="00C107A4">
      <w:pPr>
        <w:suppressAutoHyphens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ar-SA"/>
        </w:rPr>
        <w:t>2.  Сумма средств местного бюджета Муниципального образования Большеижорского городского поселения, направленная в отчетном периоде на проведение благоустройства территории муниципального образования, в расчете на одного жителя муниципального образования Большеижорского городского поселения составляет 680,75</w:t>
      </w:r>
      <w:r w:rsidR="004733EF" w:rsidRPr="004733E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07A4">
        <w:rPr>
          <w:rFonts w:ascii="Times New Roman" w:eastAsia="Times New Roman" w:hAnsi="Times New Roman"/>
          <w:sz w:val="24"/>
          <w:szCs w:val="24"/>
          <w:lang w:eastAsia="ar-SA"/>
        </w:rPr>
        <w:t>руб.</w:t>
      </w:r>
    </w:p>
    <w:p w:rsidR="004733EF" w:rsidRPr="004733EF" w:rsidRDefault="004733EF" w:rsidP="003F1653">
      <w:pPr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3118"/>
        <w:gridCol w:w="1276"/>
      </w:tblGrid>
      <w:tr w:rsidR="003F1653" w:rsidRPr="004733EF" w:rsidTr="004733EF">
        <w:tc>
          <w:tcPr>
            <w:tcW w:w="2977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985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Значение весового коэффициента</w:t>
            </w: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3F1653" w:rsidRPr="004733EF" w:rsidTr="004733EF">
        <w:trPr>
          <w:trHeight w:val="453"/>
        </w:trPr>
        <w:tc>
          <w:tcPr>
            <w:tcW w:w="2977" w:type="dxa"/>
            <w:vMerge w:val="restart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программных мероприятий</w:t>
            </w:r>
          </w:p>
        </w:tc>
        <w:tc>
          <w:tcPr>
            <w:tcW w:w="1985" w:type="dxa"/>
            <w:vMerge w:val="restart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плана программных мероприятий осуществлено в полном объеме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653" w:rsidRPr="004733EF" w:rsidTr="004733EF"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программных мероприятий выполнен (в %)  не менее чем на 90%, но не в полном объеме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F1653" w:rsidRPr="004733EF" w:rsidTr="004733EF"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программных мероприятий выполнен не менее чем на 70%, но не более чем на 90%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1653" w:rsidRPr="004733EF" w:rsidTr="004733EF"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программных мероприятий выполнен не менее чем на 50%, но не </w:t>
            </w: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более чем на 70%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3F1653" w:rsidRPr="004733EF" w:rsidTr="004733EF"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выполнение плана программных мероприятий составляет от 30 до 50%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программных мероприятий выполнен не менее чем на 30%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 w:val="restart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средств местного бюджета Муниципального образования Большеижорского городского поселения, направленная в отчетном периоде на проведение благоустройства территории муниципального округа, в расчете на одного жителя муниципального образования </w:t>
            </w:r>
          </w:p>
        </w:tc>
        <w:tc>
          <w:tcPr>
            <w:tcW w:w="1985" w:type="dxa"/>
            <w:vMerge w:val="restart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8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653" w:rsidRPr="004733EF" w:rsidTr="004733EF">
        <w:trPr>
          <w:trHeight w:val="593"/>
        </w:trPr>
        <w:tc>
          <w:tcPr>
            <w:tcW w:w="2977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 рублей на одного жителя</w:t>
            </w:r>
          </w:p>
        </w:tc>
        <w:tc>
          <w:tcPr>
            <w:tcW w:w="1276" w:type="dxa"/>
            <w:vAlign w:val="center"/>
          </w:tcPr>
          <w:p w:rsidR="003F1653" w:rsidRPr="004733EF" w:rsidRDefault="003F1653" w:rsidP="003F165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Мониторинг и контроль реализации программы</w:t>
      </w:r>
    </w:p>
    <w:p w:rsidR="003F1653" w:rsidRPr="004733EF" w:rsidRDefault="003F1653" w:rsidP="003F165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7.1. Мониторинг реализации программы осуществляется в 1 полугодии методом опроса жителей Муниципального образования Большеижорского городского поселения. Анализ обращений граждан по вопросам благоустройства.</w:t>
      </w:r>
    </w:p>
    <w:p w:rsidR="003F1653" w:rsidRPr="004733EF" w:rsidRDefault="003F1653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7.2. Порядок </w:t>
      </w:r>
      <w:proofErr w:type="gramStart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733E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мероприятий программы</w:t>
      </w:r>
    </w:p>
    <w:p w:rsidR="004733EF" w:rsidRPr="004733EF" w:rsidRDefault="004733EF" w:rsidP="003F165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2679"/>
        <w:gridCol w:w="4661"/>
      </w:tblGrid>
      <w:tr w:rsidR="003F1653" w:rsidRPr="004733EF" w:rsidTr="00692C0E">
        <w:tc>
          <w:tcPr>
            <w:tcW w:w="1047" w:type="pct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43" w:type="pct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10" w:type="pct"/>
          </w:tcPr>
          <w:p w:rsidR="003F1653" w:rsidRPr="004733EF" w:rsidRDefault="003F1653" w:rsidP="003F16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осуществляющего</w:t>
            </w:r>
            <w:proofErr w:type="gram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3F1653" w:rsidRPr="004733EF" w:rsidTr="00692C0E">
        <w:trPr>
          <w:trHeight w:val="1001"/>
        </w:trPr>
        <w:tc>
          <w:tcPr>
            <w:tcW w:w="1047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Контроль в форме выездной проверки </w:t>
            </w:r>
          </w:p>
        </w:tc>
        <w:tc>
          <w:tcPr>
            <w:tcW w:w="1443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</w:t>
            </w:r>
            <w:proofErr w:type="gramEnd"/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мероприятия: организация приемки и проведения экспертизы выполненных работ </w:t>
            </w:r>
          </w:p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мероприятий, выполняемых за счет средств субсидии, в соответствии с планом - графиком выездных проверок, но не реже одного раза в полугодие;</w:t>
            </w:r>
          </w:p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мере необходимости (в случае поступлений обоснованных жалоб граждан)</w:t>
            </w:r>
          </w:p>
        </w:tc>
        <w:tc>
          <w:tcPr>
            <w:tcW w:w="2510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муниципальных закупок и благоустройства</w:t>
            </w:r>
          </w:p>
        </w:tc>
      </w:tr>
      <w:tr w:rsidR="003F1653" w:rsidRPr="004733EF" w:rsidTr="00692C0E">
        <w:trPr>
          <w:trHeight w:val="1270"/>
        </w:trPr>
        <w:tc>
          <w:tcPr>
            <w:tcW w:w="1047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Контроль в форме камеральной проверки отчетности</w:t>
            </w:r>
          </w:p>
        </w:tc>
        <w:tc>
          <w:tcPr>
            <w:tcW w:w="1443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отчетности о выполнении основных мероприятий и муниципального задания</w:t>
            </w:r>
          </w:p>
        </w:tc>
        <w:tc>
          <w:tcPr>
            <w:tcW w:w="2510" w:type="pct"/>
          </w:tcPr>
          <w:p w:rsidR="003F1653" w:rsidRPr="004733EF" w:rsidRDefault="003F1653" w:rsidP="003F16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орган местной Администрации</w:t>
            </w:r>
          </w:p>
        </w:tc>
      </w:tr>
    </w:tbl>
    <w:p w:rsidR="003F1653" w:rsidRPr="004733EF" w:rsidRDefault="003F1653" w:rsidP="003F16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653" w:rsidRPr="004733EF" w:rsidRDefault="003F1653" w:rsidP="003F16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F1653" w:rsidRPr="0047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713D"/>
    <w:multiLevelType w:val="hybridMultilevel"/>
    <w:tmpl w:val="176CD990"/>
    <w:lvl w:ilvl="0" w:tplc="A6F812A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17"/>
    <w:rsid w:val="002B239D"/>
    <w:rsid w:val="003023A8"/>
    <w:rsid w:val="00311817"/>
    <w:rsid w:val="0033057D"/>
    <w:rsid w:val="003768BE"/>
    <w:rsid w:val="003C7AA2"/>
    <w:rsid w:val="003D5EC2"/>
    <w:rsid w:val="003F1653"/>
    <w:rsid w:val="004204D4"/>
    <w:rsid w:val="00430991"/>
    <w:rsid w:val="004733EF"/>
    <w:rsid w:val="004973D4"/>
    <w:rsid w:val="0053753B"/>
    <w:rsid w:val="005637AC"/>
    <w:rsid w:val="005C6393"/>
    <w:rsid w:val="006A6FDD"/>
    <w:rsid w:val="008673E9"/>
    <w:rsid w:val="008932C1"/>
    <w:rsid w:val="008F59C8"/>
    <w:rsid w:val="00911358"/>
    <w:rsid w:val="0097256E"/>
    <w:rsid w:val="009914A3"/>
    <w:rsid w:val="00A0121E"/>
    <w:rsid w:val="00AC1813"/>
    <w:rsid w:val="00C107A4"/>
    <w:rsid w:val="00D05116"/>
    <w:rsid w:val="00DE2B55"/>
    <w:rsid w:val="00E0596B"/>
    <w:rsid w:val="00F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1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1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4E0570805167662E127B143D94D89D1C017973A565531CB7B4DCD4041ABCC0C827BF7C84FEC01D8r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44E0570805167662E127B143D94D89D1C017973A565531CB7B4DCD4041ABCC0C827BF7C84FE90FD8r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44E0570805167662E127B143D94D89D1C017973A565531CB7B4DCD4041ABCC0C827BF7C84EEC03D8r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4E0570805167662E127B143D94D89D1C017973A565531CB7B4DCD4041ABCC0C827BF7C84FE107D8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20</cp:revision>
  <cp:lastPrinted>2022-01-27T09:13:00Z</cp:lastPrinted>
  <dcterms:created xsi:type="dcterms:W3CDTF">2017-11-08T12:00:00Z</dcterms:created>
  <dcterms:modified xsi:type="dcterms:W3CDTF">2022-04-28T06:48:00Z</dcterms:modified>
</cp:coreProperties>
</file>